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E" w:rsidRPr="00C908CF" w:rsidRDefault="0033066E" w:rsidP="0033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CF">
        <w:rPr>
          <w:rFonts w:ascii="Times New Roman" w:hAnsi="Times New Roman" w:cs="Times New Roman"/>
          <w:b/>
          <w:sz w:val="28"/>
          <w:szCs w:val="28"/>
        </w:rPr>
        <w:t>ОБАВЕШТЕЊЕ О КОНКУРСУ ЗА ДИЗАЈН</w:t>
      </w:r>
    </w:p>
    <w:p w:rsidR="005A0B42" w:rsidRDefault="005A0B42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>:</w:t>
      </w:r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Обреновац</w:t>
      </w:r>
      <w:proofErr w:type="spellEnd"/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>. 74</w:t>
      </w:r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 xml:space="preserve">11500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Обреновац</w:t>
      </w:r>
      <w:proofErr w:type="spellEnd"/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b/>
          <w:sz w:val="24"/>
          <w:szCs w:val="24"/>
        </w:rPr>
        <w:t xml:space="preserve">ПИБ: </w:t>
      </w:r>
      <w:r w:rsidRPr="00C908CF">
        <w:rPr>
          <w:rFonts w:ascii="Times New Roman" w:hAnsi="Times New Roman" w:cs="Times New Roman"/>
          <w:sz w:val="24"/>
          <w:szCs w:val="24"/>
        </w:rPr>
        <w:t>102700379</w:t>
      </w:r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b/>
          <w:sz w:val="24"/>
          <w:szCs w:val="24"/>
        </w:rPr>
        <w:t xml:space="preserve">НСТЈ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8CF">
        <w:rPr>
          <w:rFonts w:ascii="Times New Roman" w:hAnsi="Times New Roman" w:cs="Times New Roman"/>
          <w:sz w:val="24"/>
          <w:szCs w:val="24"/>
        </w:rPr>
        <w:t>РС110</w:t>
      </w:r>
      <w:r w:rsidRPr="00C908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Особа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Лековић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 8726-467,</w:t>
      </w:r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Арсић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8726-445</w:t>
      </w:r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Електронска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пошта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908CF">
          <w:rPr>
            <w:rStyle w:val="Hyperlink"/>
            <w:rFonts w:ascii="Times New Roman" w:hAnsi="Times New Roman" w:cs="Times New Roman"/>
            <w:sz w:val="24"/>
            <w:szCs w:val="24"/>
          </w:rPr>
          <w:t>milica.lekovic@obrenovac.org.rs</w:t>
        </w:r>
      </w:hyperlink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>: www.obrenovac.rs</w:t>
      </w:r>
    </w:p>
    <w:p w:rsidR="0033066E" w:rsidRPr="00C908CF" w:rsidRDefault="0033066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52" w:rsidRPr="00C908CF" w:rsidRDefault="00785052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Комуникација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>:</w:t>
      </w: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Документација о конкурсу је доступна уз бесплатан, неограничен и несметан приступ на интернет страници наручиоца.</w:t>
      </w: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 xml:space="preserve">Додатне информације су доступне на : </w:t>
      </w:r>
      <w:hyperlink r:id="rId7" w:history="1">
        <w:r w:rsidRPr="00C908CF">
          <w:rPr>
            <w:rStyle w:val="Hyperlink"/>
            <w:rFonts w:ascii="Times New Roman" w:hAnsi="Times New Roman" w:cs="Times New Roman"/>
            <w:sz w:val="24"/>
            <w:szCs w:val="24"/>
          </w:rPr>
          <w:t>milica.lekovic@obrenovac.org.rs</w:t>
        </w:r>
      </w:hyperlink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Планови, пројекти, дизајн или пријаве морају се доставити на писарницу Управе ГО Обреновац, Вука Караџића 74, без обзира на начин предаје (непосредно  или поштом) до 22.12.2021. године до 12.00 часова.</w:t>
      </w:r>
    </w:p>
    <w:p w:rsidR="009B0E64" w:rsidRDefault="009B0E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B64" w:rsidRDefault="00494B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>:</w:t>
      </w: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Органи аутономне покрајине или органи јединица локалне самоуправе</w:t>
      </w: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CF">
        <w:rPr>
          <w:rFonts w:ascii="Times New Roman" w:hAnsi="Times New Roman" w:cs="Times New Roman"/>
          <w:b/>
          <w:sz w:val="24"/>
          <w:szCs w:val="24"/>
        </w:rPr>
        <w:t>Основна делатност:</w:t>
      </w: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Опште јавне услуге</w:t>
      </w:r>
    </w:p>
    <w:p w:rsidR="009B0E64" w:rsidRDefault="009B0E64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>:</w:t>
      </w:r>
    </w:p>
    <w:p w:rsidR="009B0E64" w:rsidRPr="00C908CF" w:rsidRDefault="009B0E64" w:rsidP="00DC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урбанистичко-архитектонског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трга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пешачке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идејним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пословно-комерцијалних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1E" w:rsidRPr="00C908CF">
        <w:rPr>
          <w:rFonts w:ascii="Times New Roman" w:hAnsi="Times New Roman" w:cs="Times New Roman"/>
          <w:sz w:val="24"/>
          <w:szCs w:val="24"/>
        </w:rPr>
        <w:t>Обреновац</w:t>
      </w:r>
      <w:proofErr w:type="spellEnd"/>
      <w:r w:rsidR="00DC7B1E" w:rsidRPr="00C908CF">
        <w:rPr>
          <w:rFonts w:ascii="Times New Roman" w:hAnsi="Times New Roman" w:cs="Times New Roman"/>
          <w:sz w:val="24"/>
          <w:szCs w:val="24"/>
        </w:rPr>
        <w:t>.</w:t>
      </w:r>
    </w:p>
    <w:p w:rsidR="00DC7B1E" w:rsidRDefault="00DC7B1E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B64" w:rsidRPr="00C908CF" w:rsidRDefault="00494B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E64" w:rsidRPr="00C908CF" w:rsidRDefault="009B0E64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CF">
        <w:rPr>
          <w:rFonts w:ascii="Times New Roman" w:hAnsi="Times New Roman" w:cs="Times New Roman"/>
          <w:b/>
          <w:sz w:val="24"/>
          <w:szCs w:val="24"/>
        </w:rPr>
        <w:t>Главнa CPV oзнака</w:t>
      </w:r>
      <w:r w:rsidR="00DC7B1E" w:rsidRPr="00C908CF">
        <w:rPr>
          <w:rFonts w:ascii="Times New Roman" w:hAnsi="Times New Roman" w:cs="Times New Roman"/>
          <w:b/>
          <w:sz w:val="24"/>
          <w:szCs w:val="24"/>
        </w:rPr>
        <w:t>:</w:t>
      </w:r>
    </w:p>
    <w:p w:rsidR="00DC7B1E" w:rsidRPr="00C908CF" w:rsidRDefault="00DC7B1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71240000-2</w:t>
      </w:r>
    </w:p>
    <w:p w:rsidR="00DC7B1E" w:rsidRPr="00C908CF" w:rsidRDefault="00DC7B1E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E64" w:rsidRPr="00C908CF" w:rsidRDefault="00DC7B1E" w:rsidP="0033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CF">
        <w:rPr>
          <w:rFonts w:ascii="Times New Roman" w:hAnsi="Times New Roman" w:cs="Times New Roman"/>
          <w:b/>
          <w:sz w:val="24"/>
          <w:szCs w:val="24"/>
        </w:rPr>
        <w:t xml:space="preserve">Референтни број: </w:t>
      </w:r>
    </w:p>
    <w:p w:rsidR="00DC7B1E" w:rsidRPr="00C908CF" w:rsidRDefault="00DC7B1E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Х-01 бр. 06-3/67 од 29.10.2021.године.</w:t>
      </w:r>
    </w:p>
    <w:p w:rsidR="00785052" w:rsidRPr="00C908CF" w:rsidRDefault="00785052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1E" w:rsidRPr="00C908CF" w:rsidRDefault="00DC7B1E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>:</w:t>
      </w:r>
    </w:p>
    <w:p w:rsidR="0042601D" w:rsidRPr="00C908CF" w:rsidRDefault="00DC7B1E" w:rsidP="0042601D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архитектонско-урбанистичког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  <w:lang w:val="sr-Cyrl-BA"/>
        </w:rPr>
        <w:t>, односно</w:t>
      </w:r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трга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пешачке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r w:rsidR="0042601D" w:rsidRPr="00C908CF">
        <w:rPr>
          <w:rFonts w:ascii="Times New Roman" w:hAnsi="Times New Roman" w:cs="Times New Roman"/>
          <w:sz w:val="24"/>
          <w:szCs w:val="24"/>
          <w:lang w:val="sr-Cyrl-BA"/>
        </w:rPr>
        <w:t>са решењем пословно-комерцијалних објеката у блоковима 3б3 и 3г</w:t>
      </w:r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r w:rsidR="0042601D" w:rsidRPr="00C908CF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Обреновац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lastRenderedPageBreak/>
        <w:t>улица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r w:rsidR="0042601D" w:rsidRPr="00C908CF">
        <w:rPr>
          <w:rFonts w:ascii="Times New Roman" w:hAnsi="Times New Roman" w:cs="Times New Roman"/>
          <w:sz w:val="24"/>
          <w:szCs w:val="24"/>
          <w:lang w:val="sr-Cyrl-BA"/>
        </w:rPr>
        <w:t xml:space="preserve">Милоша </w:t>
      </w:r>
      <w:r w:rsidR="0042601D" w:rsidRPr="00C908CF">
        <w:rPr>
          <w:rFonts w:ascii="Times New Roman" w:hAnsi="Times New Roman" w:cs="Times New Roman"/>
          <w:sz w:val="24"/>
          <w:szCs w:val="24"/>
        </w:rPr>
        <w:t>O</w:t>
      </w:r>
      <w:r w:rsidR="0042601D" w:rsidRPr="00C908CF">
        <w:rPr>
          <w:rFonts w:ascii="Times New Roman" w:hAnsi="Times New Roman" w:cs="Times New Roman"/>
          <w:sz w:val="24"/>
          <w:szCs w:val="24"/>
          <w:lang w:val="sr-Cyrl-BA"/>
        </w:rPr>
        <w:t>бреновића и Бошка Бухе</w:t>
      </w:r>
      <w:r w:rsidR="0042601D" w:rsidRPr="00C90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оквирима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урбанистичких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1D" w:rsidRPr="00C908CF">
        <w:rPr>
          <w:rFonts w:ascii="Times New Roman" w:hAnsi="Times New Roman" w:cs="Times New Roman"/>
          <w:sz w:val="24"/>
          <w:szCs w:val="24"/>
        </w:rPr>
        <w:t>параметара</w:t>
      </w:r>
      <w:proofErr w:type="spellEnd"/>
      <w:r w:rsidR="0042601D" w:rsidRPr="00C908CF">
        <w:rPr>
          <w:rFonts w:ascii="Times New Roman" w:hAnsi="Times New Roman" w:cs="Times New Roman"/>
          <w:sz w:val="24"/>
          <w:szCs w:val="24"/>
        </w:rPr>
        <w:t xml:space="preserve"> ПДР-а.</w:t>
      </w:r>
    </w:p>
    <w:p w:rsidR="0042601D" w:rsidRPr="00C908CF" w:rsidRDefault="0042601D" w:rsidP="0042601D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01D" w:rsidRPr="00C908CF" w:rsidRDefault="0042601D" w:rsidP="0042601D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C908CF">
        <w:rPr>
          <w:rFonts w:ascii="Times New Roman" w:hAnsi="Times New Roman" w:cs="Times New Roman"/>
          <w:sz w:val="24"/>
          <w:szCs w:val="24"/>
        </w:rPr>
        <w:t>Идејно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архитектонско-урбанистичко</w:t>
      </w:r>
      <w:proofErr w:type="spellEnd"/>
      <w:r w:rsidRPr="00C908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r w:rsidRPr="00C908CF">
        <w:rPr>
          <w:rFonts w:ascii="Times New Roman" w:hAnsi="Times New Roman" w:cs="Times New Roman"/>
          <w:sz w:val="24"/>
          <w:szCs w:val="24"/>
          <w:lang w:val="sr-Cyrl-BA"/>
        </w:rPr>
        <w:t>понуди најадекватнији начин уређења пешачке зоне, као и активирање приземља контактних грађевинских парцела и функционалну и волуметријску целовитост простора.</w:t>
      </w:r>
      <w:proofErr w:type="gramEnd"/>
      <w:r w:rsidRPr="00C908CF">
        <w:rPr>
          <w:rFonts w:ascii="Times New Roman" w:hAnsi="Times New Roman" w:cs="Times New Roman"/>
          <w:sz w:val="24"/>
          <w:szCs w:val="24"/>
          <w:lang w:val="sr-Cyrl-BA"/>
        </w:rPr>
        <w:t xml:space="preserve"> Такође,  потребно је израдити јединствено идејно решење објеката у блоковима 3б3 и 3г како би се постигао бољи ефекат у погледу обликовања простора. Објекат у блоку 3б3 намењен је за ватрогасну станицу и полицијску станицу Обреновац.</w:t>
      </w:r>
    </w:p>
    <w:p w:rsidR="00DC7B1E" w:rsidRDefault="00DC7B1E" w:rsidP="0042601D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B42" w:rsidRPr="00C908CF" w:rsidRDefault="005A0B42" w:rsidP="0042601D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B1E" w:rsidRPr="00C908CF" w:rsidRDefault="0042601D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CF">
        <w:rPr>
          <w:rFonts w:ascii="Times New Roman" w:hAnsi="Times New Roman" w:cs="Times New Roman"/>
          <w:b/>
          <w:sz w:val="24"/>
          <w:szCs w:val="24"/>
        </w:rPr>
        <w:t>Правни, економски, финансијски и технички подаци:</w:t>
      </w:r>
    </w:p>
    <w:p w:rsidR="0042601D" w:rsidRPr="00C908CF" w:rsidRDefault="0042601D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01D" w:rsidRPr="00C908CF" w:rsidRDefault="0042601D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Приликом израде идејног решења које ће учествовати на Конкурсу мора учествовати бар један пројектант архитектруре.</w:t>
      </w:r>
    </w:p>
    <w:p w:rsidR="00DC7B1E" w:rsidRPr="00C908CF" w:rsidRDefault="00DC7B1E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DC7B1E" w:rsidRPr="00C908CF" w:rsidRDefault="00DC7B1E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42601D" w:rsidRPr="00C908CF" w:rsidRDefault="0042601D" w:rsidP="0042601D">
      <w:pPr>
        <w:pStyle w:val="Bodytext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C908CF">
        <w:rPr>
          <w:rFonts w:ascii="Times New Roman" w:hAnsi="Times New Roman" w:cs="Times New Roman"/>
          <w:i w:val="0"/>
          <w:sz w:val="24"/>
          <w:szCs w:val="24"/>
        </w:rPr>
        <w:t>Критеријуми</w:t>
      </w:r>
      <w:proofErr w:type="spellEnd"/>
      <w:r w:rsidRPr="00C908CF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C908CF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spellEnd"/>
      <w:proofErr w:type="gramEnd"/>
      <w:r w:rsidRPr="00C908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i w:val="0"/>
          <w:sz w:val="24"/>
          <w:szCs w:val="24"/>
        </w:rPr>
        <w:t>оцењивање</w:t>
      </w:r>
      <w:proofErr w:type="spellEnd"/>
      <w:r w:rsidRPr="00C908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i w:val="0"/>
          <w:sz w:val="24"/>
          <w:szCs w:val="24"/>
        </w:rPr>
        <w:t>пројекта</w:t>
      </w:r>
      <w:proofErr w:type="spellEnd"/>
      <w:r w:rsidRPr="00C908CF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42601D" w:rsidRPr="00C908CF" w:rsidRDefault="0042601D" w:rsidP="0042601D">
      <w:pPr>
        <w:pStyle w:val="Bodytext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i w:val="0"/>
        </w:rPr>
      </w:pPr>
    </w:p>
    <w:p w:rsidR="0042601D" w:rsidRPr="00C908CF" w:rsidRDefault="0042601D" w:rsidP="0042601D">
      <w:pPr>
        <w:pStyle w:val="BodyText7"/>
        <w:shd w:val="clear" w:color="auto" w:fill="auto"/>
        <w:spacing w:after="120" w:line="240" w:lineRule="auto"/>
        <w:ind w:left="2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задовољења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из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конкурсног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задатка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те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конкурсног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са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урбанистичким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препорукама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Жири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ће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вредновати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на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:</w:t>
      </w:r>
    </w:p>
    <w:p w:rsidR="0042601D" w:rsidRPr="00C908CF" w:rsidRDefault="0042601D" w:rsidP="0042601D">
      <w:pPr>
        <w:pStyle w:val="BodyText7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просторни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процена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аспекта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архитектонске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урбанистичке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простора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функционалне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повезаности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различитих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намена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делова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целине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простора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просторни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комфор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квалитет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простора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инжењерска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рационалност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техничка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изводљивост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>:</w:t>
      </w:r>
    </w:p>
    <w:p w:rsidR="0042601D" w:rsidRPr="00C908CF" w:rsidRDefault="0042601D" w:rsidP="0042601D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908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C908CF">
        <w:rPr>
          <w:rFonts w:ascii="Times New Roman" w:hAnsi="Times New Roman" w:cs="Times New Roman"/>
          <w:b/>
          <w:sz w:val="22"/>
          <w:szCs w:val="22"/>
        </w:rPr>
        <w:t xml:space="preserve">30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бодова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>;</w:t>
      </w:r>
    </w:p>
    <w:p w:rsidR="0042601D" w:rsidRPr="00C908CF" w:rsidRDefault="0042601D" w:rsidP="0042601D">
      <w:pPr>
        <w:pStyle w:val="BodyText7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програмски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процена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функционалности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функционалне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оправданости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аспекта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изградње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експлоатације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рационалног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коришћења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простора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процена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поштовања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задовољења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конкурсног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задатка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2601D" w:rsidRPr="00C908CF" w:rsidRDefault="0042601D" w:rsidP="0042601D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08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C908CF">
        <w:rPr>
          <w:rFonts w:ascii="Times New Roman" w:hAnsi="Times New Roman" w:cs="Times New Roman"/>
          <w:b/>
          <w:sz w:val="22"/>
          <w:szCs w:val="22"/>
        </w:rPr>
        <w:t xml:space="preserve">25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бодова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>;</w:t>
      </w:r>
    </w:p>
    <w:p w:rsidR="0042601D" w:rsidRPr="00C908CF" w:rsidRDefault="0042601D" w:rsidP="0042601D">
      <w:pPr>
        <w:pStyle w:val="BodyText7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економски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процена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економичности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ефикаснсти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економски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аспекти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пројектованог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економска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адекватност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конкурсном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задатку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рационалност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практичност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поузданост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коришћењу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експлоатацији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предвиђени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трошкови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одржавања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огледа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кроз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приказ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планиране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бруто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нето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између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нето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корисне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продајног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простора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нето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осталих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простора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зона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енергетске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ефикасности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предложене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материјале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рационалност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конструктивнх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склопова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одржавања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>:</w:t>
      </w:r>
    </w:p>
    <w:p w:rsidR="0042601D" w:rsidRPr="00C908CF" w:rsidRDefault="0042601D" w:rsidP="0042601D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908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C908CF">
        <w:rPr>
          <w:rFonts w:ascii="Times New Roman" w:hAnsi="Times New Roman" w:cs="Times New Roman"/>
          <w:b/>
          <w:sz w:val="22"/>
          <w:szCs w:val="22"/>
        </w:rPr>
        <w:t xml:space="preserve">15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бодова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>;</w:t>
      </w:r>
    </w:p>
    <w:p w:rsidR="0042601D" w:rsidRPr="00C908CF" w:rsidRDefault="0042601D" w:rsidP="0042601D">
      <w:pPr>
        <w:pStyle w:val="BodyText7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естетски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процењује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оригиналност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иновативност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уметничка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вредност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изворност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креативна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посебност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целовитост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доследност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уклопљеност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амбијенталну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целину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2601D" w:rsidRPr="00C908CF" w:rsidRDefault="0042601D" w:rsidP="0042601D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08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C908CF">
        <w:rPr>
          <w:rFonts w:ascii="Times New Roman" w:hAnsi="Times New Roman" w:cs="Times New Roman"/>
          <w:b/>
          <w:sz w:val="22"/>
          <w:szCs w:val="22"/>
        </w:rPr>
        <w:t xml:space="preserve">20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бодова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>;</w:t>
      </w:r>
    </w:p>
    <w:p w:rsidR="0042601D" w:rsidRPr="00C908CF" w:rsidRDefault="0042601D" w:rsidP="0042601D">
      <w:pPr>
        <w:pStyle w:val="BodyText7"/>
        <w:numPr>
          <w:ilvl w:val="0"/>
          <w:numId w:val="2"/>
        </w:numPr>
        <w:shd w:val="clear" w:color="auto" w:fill="auto"/>
        <w:tabs>
          <w:tab w:val="left" w:pos="743"/>
        </w:tabs>
        <w:spacing w:after="120" w:line="240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еколошки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процена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заштити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очувању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унапређењу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одрживо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природних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ресурса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смањење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потрошње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енергије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обновљивих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извора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енергије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 w:rsidRPr="00C908C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2601D" w:rsidRPr="00C908CF" w:rsidRDefault="0042601D" w:rsidP="0042601D">
      <w:pPr>
        <w:pStyle w:val="BodyText7"/>
        <w:shd w:val="clear" w:color="auto" w:fill="auto"/>
        <w:tabs>
          <w:tab w:val="left" w:pos="743"/>
        </w:tabs>
        <w:spacing w:after="120" w:line="240" w:lineRule="auto"/>
        <w:ind w:left="38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08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C908CF">
        <w:rPr>
          <w:rFonts w:ascii="Times New Roman" w:hAnsi="Times New Roman" w:cs="Times New Roman"/>
          <w:b/>
          <w:sz w:val="22"/>
          <w:szCs w:val="22"/>
        </w:rPr>
        <w:t xml:space="preserve">10 </w:t>
      </w:r>
      <w:proofErr w:type="spellStart"/>
      <w:r w:rsidRPr="00C908CF">
        <w:rPr>
          <w:rFonts w:ascii="Times New Roman" w:hAnsi="Times New Roman" w:cs="Times New Roman"/>
          <w:b/>
          <w:sz w:val="22"/>
          <w:szCs w:val="22"/>
        </w:rPr>
        <w:t>бодова</w:t>
      </w:r>
      <w:proofErr w:type="spellEnd"/>
      <w:r w:rsidRPr="00C908CF">
        <w:rPr>
          <w:rFonts w:ascii="Times New Roman" w:hAnsi="Times New Roman" w:cs="Times New Roman"/>
          <w:b/>
          <w:sz w:val="22"/>
          <w:szCs w:val="22"/>
        </w:rPr>
        <w:t>;</w:t>
      </w:r>
    </w:p>
    <w:p w:rsidR="0042601D" w:rsidRPr="00C908CF" w:rsidRDefault="0042601D" w:rsidP="0042601D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8CF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8CF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додељујући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бодове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8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01D" w:rsidRPr="00C908CF" w:rsidRDefault="0042601D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42601D" w:rsidRPr="00C908CF" w:rsidRDefault="002B58C9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8CF">
        <w:rPr>
          <w:rFonts w:ascii="Times New Roman" w:hAnsi="Times New Roman" w:cs="Times New Roman"/>
          <w:sz w:val="24"/>
          <w:szCs w:val="24"/>
        </w:rPr>
        <w:t>Аутор је дужан да поштује услове расписа и општих конкурсних услова у погледу реализације рада након завршетка Конкурса.</w:t>
      </w:r>
    </w:p>
    <w:p w:rsidR="0042601D" w:rsidRPr="00C908CF" w:rsidRDefault="0042601D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01D" w:rsidRPr="00C908CF" w:rsidRDefault="0042601D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8C9" w:rsidRPr="00C908CF" w:rsidRDefault="002B58C9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CF">
        <w:rPr>
          <w:rFonts w:ascii="Times New Roman" w:hAnsi="Times New Roman" w:cs="Times New Roman"/>
          <w:b/>
          <w:sz w:val="24"/>
          <w:szCs w:val="24"/>
        </w:rPr>
        <w:t>Административни подаци:</w:t>
      </w:r>
    </w:p>
    <w:p w:rsidR="00494B64" w:rsidRDefault="00494B64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C908CF" w:rsidRDefault="002B58C9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>, пројеката, дизајна или пријаве:</w:t>
      </w:r>
    </w:p>
    <w:p w:rsidR="00494B64" w:rsidRDefault="00494B64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8C9" w:rsidRPr="00C908CF" w:rsidRDefault="002B58C9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8CF">
        <w:rPr>
          <w:rFonts w:ascii="Times New Roman" w:hAnsi="Times New Roman" w:cs="Times New Roman"/>
          <w:sz w:val="24"/>
          <w:szCs w:val="24"/>
        </w:rPr>
        <w:t>22.12.2021. године, локално време 12.00 часова</w:t>
      </w:r>
    </w:p>
    <w:p w:rsidR="002B58C9" w:rsidRPr="00C908CF" w:rsidRDefault="002B58C9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8C9" w:rsidRPr="00C908CF" w:rsidRDefault="002B58C9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08CF">
        <w:rPr>
          <w:rFonts w:ascii="Times New Roman" w:hAnsi="Times New Roman" w:cs="Times New Roman"/>
          <w:b/>
          <w:sz w:val="24"/>
          <w:szCs w:val="24"/>
        </w:rPr>
        <w:t>планови</w:t>
      </w:r>
      <w:proofErr w:type="spell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Pr="00C908CF">
        <w:rPr>
          <w:rFonts w:ascii="Times New Roman" w:hAnsi="Times New Roman" w:cs="Times New Roman"/>
          <w:b/>
          <w:sz w:val="24"/>
          <w:szCs w:val="24"/>
        </w:rPr>
        <w:t xml:space="preserve"> пројекти, дизајн, пријаве и понуде могу бити поднете:</w:t>
      </w:r>
      <w:r w:rsidRPr="00C908CF">
        <w:rPr>
          <w:rFonts w:ascii="Times New Roman" w:hAnsi="Times New Roman" w:cs="Times New Roman"/>
          <w:sz w:val="24"/>
          <w:szCs w:val="24"/>
        </w:rPr>
        <w:t xml:space="preserve"> српски</w:t>
      </w:r>
    </w:p>
    <w:p w:rsidR="002B58C9" w:rsidRPr="00C908CF" w:rsidRDefault="002B58C9" w:rsidP="002B58C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2B58C9" w:rsidRPr="00C908CF" w:rsidRDefault="002B58C9" w:rsidP="002B58C9">
      <w:pPr>
        <w:pStyle w:val="Bodytext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908CF">
        <w:rPr>
          <w:rFonts w:ascii="Times New Roman" w:hAnsi="Times New Roman" w:cs="Times New Roman"/>
          <w:i w:val="0"/>
          <w:sz w:val="24"/>
          <w:szCs w:val="24"/>
        </w:rPr>
        <w:t>Подаци о наградама:</w:t>
      </w:r>
    </w:p>
    <w:p w:rsidR="002B58C9" w:rsidRPr="00C908CF" w:rsidRDefault="002B58C9" w:rsidP="002B58C9">
      <w:pPr>
        <w:pStyle w:val="Bodytext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908CF">
        <w:rPr>
          <w:rFonts w:ascii="Times New Roman" w:hAnsi="Times New Roman" w:cs="Times New Roman"/>
          <w:b w:val="0"/>
          <w:i w:val="0"/>
          <w:sz w:val="24"/>
          <w:szCs w:val="24"/>
        </w:rPr>
        <w:t>У складу са извршеним бодовањем биће додељене награде.</w:t>
      </w:r>
    </w:p>
    <w:p w:rsidR="002B58C9" w:rsidRPr="00C908CF" w:rsidRDefault="002B58C9" w:rsidP="002B58C9">
      <w:pPr>
        <w:pStyle w:val="Bodytext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B58C9" w:rsidRPr="00C908CF" w:rsidRDefault="00C908CF" w:rsidP="002B58C9">
      <w:pPr>
        <w:pStyle w:val="Bodytext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908CF">
        <w:rPr>
          <w:rFonts w:ascii="Times New Roman" w:hAnsi="Times New Roman" w:cs="Times New Roman"/>
          <w:i w:val="0"/>
          <w:sz w:val="24"/>
          <w:szCs w:val="24"/>
        </w:rPr>
        <w:t>Број и вредност награда које ће се доделити:</w:t>
      </w:r>
    </w:p>
    <w:p w:rsidR="00C908CF" w:rsidRPr="00C908CF" w:rsidRDefault="00C908CF" w:rsidP="002B58C9">
      <w:pPr>
        <w:pStyle w:val="Bodytext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B58C9" w:rsidRPr="00C908CF" w:rsidRDefault="002B58C9" w:rsidP="002B58C9">
      <w:pPr>
        <w:pStyle w:val="BodyText7"/>
        <w:shd w:val="clear" w:color="auto" w:fill="auto"/>
        <w:spacing w:after="120" w:line="240" w:lineRule="auto"/>
        <w:ind w:left="2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Прва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награда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proofErr w:type="gram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9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450.000,00    </w:t>
      </w:r>
      <w:proofErr w:type="spellStart"/>
      <w:r w:rsidRPr="00C9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динара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нето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износу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B58C9" w:rsidRPr="00C908CF" w:rsidRDefault="002B58C9" w:rsidP="002B58C9">
      <w:pPr>
        <w:pStyle w:val="BodyText7"/>
        <w:shd w:val="clear" w:color="auto" w:fill="auto"/>
        <w:spacing w:after="120" w:line="240" w:lineRule="auto"/>
        <w:ind w:left="2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награда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</w:t>
      </w:r>
      <w:r w:rsidRPr="00C9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100.000,00     </w:t>
      </w:r>
      <w:proofErr w:type="spellStart"/>
      <w:r w:rsidRPr="00C9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динара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нето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износу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B58C9" w:rsidRPr="00C908CF" w:rsidRDefault="002B58C9" w:rsidP="002B58C9">
      <w:pPr>
        <w:pStyle w:val="BodyText7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Трећа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награда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    50.000,00      </w:t>
      </w:r>
      <w:proofErr w:type="spellStart"/>
      <w:r w:rsidRPr="00C9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динара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нето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износу</w:t>
      </w:r>
      <w:proofErr w:type="spellEnd"/>
      <w:r w:rsidRPr="00C908C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908CF" w:rsidRPr="00C908CF" w:rsidRDefault="00C908CF" w:rsidP="002B58C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C908CF" w:rsidRDefault="002B58C9" w:rsidP="002B58C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8CF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преостали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0CE" w:rsidRDefault="001460CE" w:rsidP="00C908CF">
      <w:pPr>
        <w:pStyle w:val="BodyText7"/>
        <w:shd w:val="clear" w:color="auto" w:fill="auto"/>
        <w:spacing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08CF" w:rsidRPr="00C908CF" w:rsidRDefault="00C908CF" w:rsidP="00C908CF">
      <w:pPr>
        <w:pStyle w:val="BodyText7"/>
        <w:shd w:val="clear" w:color="auto" w:fill="auto"/>
        <w:spacing w:after="0" w:line="240" w:lineRule="auto"/>
        <w:ind w:left="23" w:right="23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8CF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архитектуре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могућношћу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наградног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0CE" w:rsidRDefault="001460CE" w:rsidP="00C908CF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</w:p>
    <w:p w:rsidR="00C908CF" w:rsidRPr="004031C1" w:rsidRDefault="00C908CF" w:rsidP="00C908CF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Све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Расписивач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Обреновац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).</w:t>
      </w:r>
      <w:proofErr w:type="gram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нето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са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увећаним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припадајућим</w:t>
      </w:r>
      <w:proofErr w:type="spellEnd"/>
      <w:r w:rsidRPr="00C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са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урачунатим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proofErr w:type="gramStart"/>
      <w:r w:rsidRPr="00C908CF">
        <w:rPr>
          <w:rStyle w:val="BodyText3"/>
          <w:rFonts w:ascii="Times New Roman" w:hAnsi="Times New Roman" w:cs="Times New Roman"/>
          <w:sz w:val="24"/>
          <w:szCs w:val="24"/>
        </w:rPr>
        <w:t>ом</w:t>
      </w:r>
      <w:proofErr w:type="spellEnd"/>
      <w:r w:rsidRPr="00C908CF">
        <w:rPr>
          <w:rStyle w:val="BodyText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се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преносом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на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40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од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од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Style w:val="BodyText3"/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031C1">
        <w:rPr>
          <w:rStyle w:val="BodyText3"/>
          <w:rFonts w:ascii="Times New Roman" w:hAnsi="Times New Roman" w:cs="Times New Roman"/>
          <w:sz w:val="24"/>
          <w:szCs w:val="24"/>
        </w:rPr>
        <w:t xml:space="preserve">. </w:t>
      </w:r>
    </w:p>
    <w:p w:rsidR="00C908CF" w:rsidRPr="004031C1" w:rsidRDefault="00C908CF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1C1">
        <w:rPr>
          <w:rFonts w:ascii="Times New Roman" w:hAnsi="Times New Roman" w:cs="Times New Roman"/>
          <w:sz w:val="24"/>
          <w:szCs w:val="24"/>
        </w:rPr>
        <w:t>Победнику</w:t>
      </w:r>
      <w:proofErr w:type="spellEnd"/>
      <w:r w:rsidRPr="0040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0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0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31C1">
        <w:rPr>
          <w:rFonts w:ascii="Times New Roman" w:hAnsi="Times New Roman" w:cs="Times New Roman"/>
          <w:sz w:val="24"/>
          <w:szCs w:val="24"/>
        </w:rPr>
        <w:t xml:space="preserve"> додељивати уговор.</w:t>
      </w:r>
      <w:proofErr w:type="gramEnd"/>
    </w:p>
    <w:p w:rsidR="00C908CF" w:rsidRPr="004031C1" w:rsidRDefault="00C908CF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8CF" w:rsidRPr="004031C1" w:rsidRDefault="00C908CF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C1">
        <w:rPr>
          <w:rFonts w:ascii="Times New Roman" w:hAnsi="Times New Roman" w:cs="Times New Roman"/>
          <w:b/>
          <w:sz w:val="24"/>
          <w:szCs w:val="24"/>
        </w:rPr>
        <w:t>Одлука Жирија је обавезујућа за наручиоца.</w:t>
      </w:r>
    </w:p>
    <w:p w:rsidR="00C908CF" w:rsidRPr="004031C1" w:rsidRDefault="00C908CF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8CF" w:rsidRDefault="00C908CF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  <w:highlight w:val="yellow"/>
        </w:rPr>
      </w:pPr>
    </w:p>
    <w:p w:rsidR="00C908CF" w:rsidRPr="00C908CF" w:rsidRDefault="00C908CF" w:rsidP="00785052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460A">
        <w:rPr>
          <w:rFonts w:ascii="Times New Roman" w:hAnsi="Times New Roman" w:cs="Times New Roman"/>
          <w:b/>
          <w:sz w:val="24"/>
          <w:szCs w:val="24"/>
        </w:rPr>
        <w:t xml:space="preserve">Датум слања Обавештења: </w:t>
      </w:r>
      <w:r w:rsidRPr="00A8460A">
        <w:rPr>
          <w:rFonts w:ascii="Times New Roman" w:hAnsi="Times New Roman" w:cs="Times New Roman"/>
          <w:sz w:val="24"/>
          <w:szCs w:val="24"/>
        </w:rPr>
        <w:t>01.11.2021.године</w:t>
      </w:r>
    </w:p>
    <w:p w:rsidR="00C908CF" w:rsidRDefault="00C908CF" w:rsidP="00785052">
      <w:pPr>
        <w:pStyle w:val="BodyText7"/>
        <w:shd w:val="clear" w:color="auto" w:fill="auto"/>
        <w:spacing w:after="240" w:line="240" w:lineRule="auto"/>
        <w:ind w:right="20" w:firstLine="0"/>
        <w:jc w:val="right"/>
        <w:rPr>
          <w:b/>
          <w:sz w:val="24"/>
          <w:szCs w:val="24"/>
        </w:rPr>
      </w:pPr>
    </w:p>
    <w:p w:rsidR="00C908CF" w:rsidRDefault="00C908CF" w:rsidP="00785052">
      <w:pPr>
        <w:pStyle w:val="BodyText7"/>
        <w:shd w:val="clear" w:color="auto" w:fill="auto"/>
        <w:spacing w:after="240" w:line="240" w:lineRule="auto"/>
        <w:ind w:right="20" w:firstLine="0"/>
        <w:jc w:val="right"/>
        <w:rPr>
          <w:sz w:val="24"/>
          <w:szCs w:val="24"/>
        </w:rPr>
      </w:pPr>
    </w:p>
    <w:p w:rsidR="00785052" w:rsidRPr="0033066E" w:rsidRDefault="00785052" w:rsidP="0033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052" w:rsidRPr="0033066E" w:rsidSect="001D3D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AE"/>
    <w:multiLevelType w:val="multilevel"/>
    <w:tmpl w:val="02248A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061F7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0484E"/>
    <w:multiLevelType w:val="multilevel"/>
    <w:tmpl w:val="29C4A68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238C0"/>
    <w:multiLevelType w:val="hybridMultilevel"/>
    <w:tmpl w:val="6A18AB7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305312AB"/>
    <w:multiLevelType w:val="multilevel"/>
    <w:tmpl w:val="8FB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-Bold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916B7F"/>
    <w:multiLevelType w:val="multilevel"/>
    <w:tmpl w:val="4EC431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E7270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7667E8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844D9"/>
    <w:multiLevelType w:val="hybridMultilevel"/>
    <w:tmpl w:val="E796F8E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66E7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A71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F84A22"/>
    <w:multiLevelType w:val="multilevel"/>
    <w:tmpl w:val="74A4504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BC2FD3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066E"/>
    <w:rsid w:val="00067FC2"/>
    <w:rsid w:val="00077BC1"/>
    <w:rsid w:val="000925F0"/>
    <w:rsid w:val="001362AE"/>
    <w:rsid w:val="001460CE"/>
    <w:rsid w:val="00162C76"/>
    <w:rsid w:val="001D3D3E"/>
    <w:rsid w:val="002A4D5B"/>
    <w:rsid w:val="002B58C9"/>
    <w:rsid w:val="002F7ACA"/>
    <w:rsid w:val="0033066E"/>
    <w:rsid w:val="004031C1"/>
    <w:rsid w:val="0042601D"/>
    <w:rsid w:val="0049413C"/>
    <w:rsid w:val="00494B64"/>
    <w:rsid w:val="004D1F4D"/>
    <w:rsid w:val="005A0B42"/>
    <w:rsid w:val="005E66AB"/>
    <w:rsid w:val="00785052"/>
    <w:rsid w:val="009B0E64"/>
    <w:rsid w:val="00A8460A"/>
    <w:rsid w:val="00AD54B9"/>
    <w:rsid w:val="00B03BCE"/>
    <w:rsid w:val="00C01C12"/>
    <w:rsid w:val="00C908CF"/>
    <w:rsid w:val="00C936C5"/>
    <w:rsid w:val="00CE459C"/>
    <w:rsid w:val="00DC7B1E"/>
    <w:rsid w:val="00D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B"/>
  </w:style>
  <w:style w:type="paragraph" w:styleId="Heading1">
    <w:name w:val="heading 1"/>
    <w:basedOn w:val="Normal"/>
    <w:next w:val="Normal"/>
    <w:link w:val="Heading1Char"/>
    <w:uiPriority w:val="9"/>
    <w:qFormat/>
    <w:rsid w:val="002A4D5B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D5B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D5B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D5B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D5B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D5B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D5B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D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D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D5B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D5B"/>
    <w:rPr>
      <w:caps/>
      <w:color w:val="3E5D78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D5B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D5B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D5B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D5B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D5B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D5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D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D5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D5B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A4D5B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D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A4D5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A4D5B"/>
    <w:rPr>
      <w:b/>
      <w:bCs/>
      <w:color w:val="628BAD" w:themeColor="accent2" w:themeShade="BF"/>
      <w:spacing w:val="5"/>
    </w:rPr>
  </w:style>
  <w:style w:type="character" w:styleId="Emphasis">
    <w:name w:val="Emphasis"/>
    <w:uiPriority w:val="20"/>
    <w:qFormat/>
    <w:rsid w:val="002A4D5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A4D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4D5B"/>
  </w:style>
  <w:style w:type="paragraph" w:styleId="ListParagraph">
    <w:name w:val="List Paragraph"/>
    <w:basedOn w:val="Normal"/>
    <w:uiPriority w:val="34"/>
    <w:qFormat/>
    <w:rsid w:val="002A4D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4D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4D5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D5B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D5B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A4D5B"/>
    <w:rPr>
      <w:i/>
      <w:iCs/>
    </w:rPr>
  </w:style>
  <w:style w:type="character" w:styleId="IntenseEmphasis">
    <w:name w:val="Intense Emphasis"/>
    <w:uiPriority w:val="21"/>
    <w:qFormat/>
    <w:rsid w:val="002A4D5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A4D5B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IntenseReference">
    <w:name w:val="Intense Reference"/>
    <w:uiPriority w:val="32"/>
    <w:qFormat/>
    <w:rsid w:val="002A4D5B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BookTitle">
    <w:name w:val="Book Title"/>
    <w:uiPriority w:val="33"/>
    <w:qFormat/>
    <w:rsid w:val="002A4D5B"/>
    <w:rPr>
      <w:caps/>
      <w:color w:val="3E5C77" w:themeColor="accent2" w:themeShade="7F"/>
      <w:spacing w:val="5"/>
      <w:u w:color="3E5C7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D5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3066E"/>
    <w:rPr>
      <w:color w:val="B292CA" w:themeColor="hyperlink"/>
      <w:u w:val="single"/>
    </w:rPr>
  </w:style>
  <w:style w:type="paragraph" w:customStyle="1" w:styleId="Default">
    <w:name w:val="Default"/>
    <w:rsid w:val="007850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ar-SA"/>
    </w:rPr>
  </w:style>
  <w:style w:type="character" w:customStyle="1" w:styleId="Bodytext">
    <w:name w:val="Body text_"/>
    <w:basedOn w:val="DefaultParagraphFont"/>
    <w:link w:val="BodyText7"/>
    <w:rsid w:val="0078505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785052"/>
    <w:pPr>
      <w:widowControl w:val="0"/>
      <w:shd w:val="clear" w:color="auto" w:fill="FFFFFF"/>
      <w:spacing w:after="600" w:line="0" w:lineRule="atLeast"/>
      <w:ind w:hanging="1240"/>
      <w:jc w:val="center"/>
    </w:pPr>
    <w:rPr>
      <w:rFonts w:ascii="Arial Narrow" w:eastAsia="Arial Narrow" w:hAnsi="Arial Narrow" w:cs="Arial Narrow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785052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Bodytext2NotBoldNotItalic">
    <w:name w:val="Body text (2) + Not Bold;Not Italic"/>
    <w:basedOn w:val="Bodytext2"/>
    <w:rsid w:val="00785052"/>
    <w:rPr>
      <w:color w:val="000000"/>
      <w:spacing w:val="0"/>
      <w:w w:val="100"/>
      <w:position w:val="0"/>
    </w:rPr>
  </w:style>
  <w:style w:type="character" w:customStyle="1" w:styleId="BodytextSmallCaps">
    <w:name w:val="Body text + Small Caps"/>
    <w:basedOn w:val="Bodytext"/>
    <w:rsid w:val="00785052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BodyText3">
    <w:name w:val="Body Text3"/>
    <w:basedOn w:val="Bodytext"/>
    <w:rsid w:val="007850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</w:rPr>
  </w:style>
  <w:style w:type="character" w:customStyle="1" w:styleId="Heading20">
    <w:name w:val="Heading #2_"/>
    <w:basedOn w:val="DefaultParagraphFont"/>
    <w:link w:val="Heading21"/>
    <w:rsid w:val="00785052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78505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5052"/>
    <w:pPr>
      <w:widowControl w:val="0"/>
      <w:shd w:val="clear" w:color="auto" w:fill="FFFFFF"/>
      <w:spacing w:after="300" w:line="274" w:lineRule="exact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Heading21">
    <w:name w:val="Heading #2"/>
    <w:basedOn w:val="Normal"/>
    <w:link w:val="Heading20"/>
    <w:rsid w:val="00785052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rsid w:val="00785052"/>
    <w:pPr>
      <w:widowControl w:val="0"/>
      <w:shd w:val="clear" w:color="auto" w:fill="FFFFFF"/>
      <w:spacing w:after="540" w:line="0" w:lineRule="atLeast"/>
    </w:pPr>
    <w:rPr>
      <w:rFonts w:ascii="Arial Narrow" w:eastAsia="Arial Narrow" w:hAnsi="Arial Narrow" w:cs="Arial Narrow"/>
      <w:sz w:val="21"/>
      <w:szCs w:val="21"/>
    </w:rPr>
  </w:style>
  <w:style w:type="character" w:customStyle="1" w:styleId="body0020text7char">
    <w:name w:val="body_0020text7__char"/>
    <w:basedOn w:val="DefaultParagraphFont"/>
    <w:rsid w:val="0078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ica.lekovic@obrenovac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ica.lekovic@obrenovac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B0D9-6BCF-4161-86C0-7AFCD83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1.4. Предмет и циљ Конкурса</vt:lpstr>
      <vt:lpstr>    </vt:lpstr>
      <vt:lpstr>    Циљ Конкурса је да се изабере квалитетно урбанистичко-архитектонско решење којим</vt:lpstr>
      <vt:lpstr>    нови јавни  простор – нови градски трг и пешачка зона - као  екстензија централн</vt:lpstr>
      <vt:lpstr>    морфологија и просторно-програмско решење новопланиране изградње пословно-комерц</vt:lpstr>
      <vt:lpstr>    Конкурсно решење подразумева, пре свега, функционално и амбијентално уређење про</vt:lpstr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miroslava.arsic</dc:creator>
  <cp:lastModifiedBy>miroslava.arsic</cp:lastModifiedBy>
  <cp:revision>4</cp:revision>
  <cp:lastPrinted>2021-11-01T10:14:00Z</cp:lastPrinted>
  <dcterms:created xsi:type="dcterms:W3CDTF">2021-11-01T10:20:00Z</dcterms:created>
  <dcterms:modified xsi:type="dcterms:W3CDTF">2021-11-01T13:35:00Z</dcterms:modified>
</cp:coreProperties>
</file>